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00"/>
        <w:gridCol w:w="4226"/>
      </w:tblGrid>
      <w:tr>
        <w:tc>
          <w:tcPr>
            <w:tcW w:type="dxa" w:w="4800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Livvic" w:cs="Livvic" w:eastAsia="Livvic" w:hAnsi="Livvic"/>
                <w:color w:val="00D4FF"/>
                <w:sz w:val="40"/>
                <w:szCs w:val="40"/>
              </w:rPr>
              <w:t xml:space="preserve">⌒</w:t>
            </w:r>
            <w:r>
              <w:rPr>
                <w:rFonts w:ascii="Livvic" w:cs="Livvic" w:eastAsia="Livvic" w:hAnsi="Livvic"/>
                <w:b/>
                <w:bCs/>
                <w:color w:val="0A1628"/>
                <w:spacing w:val="30"/>
                <w:sz w:val="26"/>
                <w:szCs w:val="26"/>
              </w:rPr>
              <w:t xml:space="preserve">  NURIA VALLE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aps/>
                <w:color w:val="6B7280"/>
                <w:spacing w:val="40"/>
                <w:sz w:val="15"/>
                <w:szCs w:val="15"/>
              </w:rPr>
              <w:t xml:space="preserve">Ecografía veterinaria itinerante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6B7280"/>
                <w:sz w:val="14"/>
                <w:szCs w:val="14"/>
              </w:rPr>
              <w:t xml:space="preserve">col. 0000 · nuria@ejemplo.es · 600 000 000</w:t>
            </w:r>
          </w:p>
        </w:tc>
        <w:tc>
          <w:tcPr>
            <w:tcW w:type="dxa" w:w="4226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30" w:before="0"/>
              <w:jc w:val="right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26"/>
                <w:szCs w:val="26"/>
              </w:rPr>
              <w:t xml:space="preserve">INFORME ECOGRÁFICO</w:t>
            </w:r>
          </w:p>
          <w:p>
            <w:pPr>
              <w:spacing w:after="50" w:before="0"/>
              <w:jc w:val="right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 xml:space="preserve">Ecografía abdominal completa</w:t>
            </w:r>
          </w:p>
        </w:tc>
      </w:tr>
    </w:tbl>
    <w:p>
      <w:pPr>
        <w:pBdr>
          <w:bottom w:val="single" w:color="00D4FF" w:sz="14"/>
        </w:pBdr>
        <w:spacing w:after="220" w:before="80"/>
      </w:pPr>
      <w:r>
        <w:rPr>
          <w:sz w:val="2"/>
          <w:szCs w:val="2"/>
        </w:rPr>
        <w:t xml:space="preserve"/>
      </w:r>
    </w:p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Datos del estudio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213"/>
        <w:gridCol w:w="2300"/>
        <w:gridCol w:w="2213"/>
      </w:tblGrid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Paciente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Duque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Ficha nº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4417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Especie y raza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Canina · mestizo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Edad y sexo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9 años · macho castrado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Peso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24 kg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Fecha del estudio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9 de septiembre de 2026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Tutor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—</w:t>
            </w:r>
          </w:p>
        </w:tc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Centro que deriva</w:t>
            </w:r>
          </w:p>
        </w:tc>
        <w:tc>
          <w:tcPr>
            <w:tcW w:type="dxa" w:w="22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Clínica El Roble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Motivo</w:t>
            </w:r>
          </w:p>
        </w:tc>
        <w:tc>
          <w:tcPr>
            <w:tcW w:type="dxa" w:w="6726"/>
            <w:gridSpan w:val="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Pérdida de peso de un mes y vómitos intermitentes.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Alcance y calidad</w:t>
            </w:r>
          </w:p>
        </w:tc>
        <w:tc>
          <w:tcPr>
            <w:tcW w:type="dxa" w:w="6726"/>
            <w:gridSpan w:val="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Ecografía abdominal completa. Paciente colaborador. Interposición de gas que impide delimitar la rama izquierda del páncreas.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Hallazgos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20"/>
        <w:gridCol w:w="2700"/>
        <w:gridCol w:w="5806"/>
      </w:tblGrid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1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Caudal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Vejiga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Repleción media. Pared regular. Contenido anecoico.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Uretra proximal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Aparato reproductor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Próstata sin alteraciones. Testículos: no aplicable, paciente castrado.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2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Lado derecho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Riñón derecho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 Diferenciación corticomedular conservada.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Adrenal derecha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Duodeno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Estratificación conservada.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Páncreas · rama derecha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3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Craneal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Hígado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 Ecoestructura homogénea.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Vesícula y vías biliares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Vesícula sin contenido sedimentado.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Diafragma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Estómago y píloro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Páncreas · cuerpo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Identificado. Sin alteraciones en la porción visualizada.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Páncreas · rama izquierda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NO EVALUADA por interposición de gas.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Entorno pancreático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cambios en la grasa peripancreática en las regiones evaluadas.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4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Lado izquierdo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Bazo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Aumentado de forma difusa. Nódulo hipoecoico en polo caudal, de bordes definidos, sin cavitación, de 2,6 cm.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Riñón izquierdo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Adrenal izquierda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5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Centro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Yeyuno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Estratificación conservada. Motilidad presente.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Íleon y unión ileocecocólica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Colon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hallazgos.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6</w:t>
            </w:r>
          </w:p>
        </w:tc>
        <w:tc>
          <w:tcPr>
            <w:tcW w:type="dxa" w:w="8506"/>
            <w:gridSpan w:val="2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aps/>
                <w:color w:val="FFFFFF"/>
                <w:spacing w:val="30"/>
                <w:sz w:val="16"/>
                <w:szCs w:val="16"/>
              </w:rPr>
              <w:t xml:space="preserve">Cierre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Linfonodos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Mesentéricos no aumentados. Región ilíaca explorada, sin ganglios individualizables.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Mesenterio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Grandes vasos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Aorta y cava caudal sin alteraciones.</w:t>
            </w:r>
          </w:p>
        </w:tc>
      </w:tr>
      <w:tr>
        <w:tc>
          <w:tcPr>
            <w:tcW w:type="dxa" w:w="52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4"/>
                <w:szCs w:val="14"/>
              </w:rPr>
              <w:t xml:space="preserve"> </w:t>
            </w:r>
          </w:p>
        </w:tc>
        <w:tc>
          <w:tcPr>
            <w:tcW w:type="dxa" w:w="27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Peritoneo y retroperitoneo</w:t>
            </w:r>
          </w:p>
        </w:tc>
        <w:tc>
          <w:tcPr>
            <w:tcW w:type="dxa" w:w="580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8"/>
                <w:szCs w:val="18"/>
              </w:rPr>
              <w:t xml:space="preserve">Sin líquido libre. Retroperitoneo sin alteraciones.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Estructuras no evaluadas o no aplicables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2200"/>
        <w:gridCol w:w="3826"/>
      </w:tblGrid>
      <w:tr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Estructura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Estado</w:t>
            </w:r>
          </w:p>
        </w:tc>
        <w:tc>
          <w:tcPr>
            <w:tcW w:type="dxa" w:w="38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Motivo</w:t>
            </w:r>
          </w:p>
        </w:tc>
      </w:tr>
      <w:tr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Páncreas · rama izquierda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7"/>
                <w:szCs w:val="17"/>
              </w:rPr>
              <w:t xml:space="preserve">No evaluada</w:t>
            </w:r>
          </w:p>
        </w:tc>
        <w:tc>
          <w:tcPr>
            <w:tcW w:type="dxa" w:w="38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Interposición de gas</w:t>
            </w:r>
          </w:p>
        </w:tc>
      </w:tr>
      <w:tr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Testículos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7"/>
                <w:szCs w:val="17"/>
              </w:rPr>
              <w:t xml:space="preserve">No aplicable</w:t>
            </w:r>
          </w:p>
        </w:tc>
        <w:tc>
          <w:tcPr>
            <w:tcW w:type="dxa" w:w="38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Paciente castrado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Medidas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2200"/>
        <w:gridCol w:w="3226"/>
      </w:tblGrid>
      <w:tr>
        <w:tc>
          <w:tcPr>
            <w:tcW w:type="dxa" w:w="36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Estructura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Medida</w:t>
            </w:r>
          </w:p>
        </w:tc>
        <w:tc>
          <w:tcPr>
            <w:tcW w:type="dxa" w:w="32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Lateralidad y plano</w:t>
            </w:r>
          </w:p>
        </w:tc>
      </w:tr>
      <w:tr>
        <w:tc>
          <w:tcPr>
            <w:tcW w:type="dxa" w:w="36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Nódulo esplénico</w:t>
            </w:r>
          </w:p>
        </w:tc>
        <w:tc>
          <w:tcPr>
            <w:tcW w:type="dxa" w:w="22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2,6 cm</w:t>
            </w:r>
          </w:p>
        </w:tc>
        <w:tc>
          <w:tcPr>
            <w:tcW w:type="dxa" w:w="32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Polo caudal · longitudinal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Ficha de lesión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6726"/>
      </w:tblGrid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Órgano o región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Bazo · polo caudal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Origen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Identificado · esplénico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Dimensiones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2,6 cm en su eje mayor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Componente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Sólido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Contornos y ecogenicidad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Bordes definidos. Hipoecoico. Sin cavitación.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Vascularización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No evaluada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A1628"/>
                <w:sz w:val="17"/>
                <w:szCs w:val="17"/>
              </w:rPr>
              <w:t xml:space="preserve">Relación con estructuras próximas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Sin afectación aparente de estructuras vecinas.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Valoración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Bazo aumentado de forma difusa. El nódulo descrito no es el único cambio observado, aunque no puede caracterizarse por imagen.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Lesión nodular esplénica única sobre un bazo difusamente aumentado. La imagen no permite establecer su naturaleza.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Pendiente de completar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Qué falta</w:t>
            </w:r>
          </w:p>
        </w:tc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0A162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FFFFFF"/>
                <w:sz w:val="16"/>
                <w:szCs w:val="16"/>
              </w:rPr>
              <w:t xml:space="preserve">Quién lo resuelve</w:t>
            </w:r>
          </w:p>
        </w:tc>
      </w:tr>
      <w:tr>
        <w:tc>
          <w:tcPr>
            <w:tcW w:type="dxa" w:w="60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Rama izquierda del páncreas sin valorar. Si el caso lo requiere, repetir con preparación previa.</w:t>
            </w:r>
          </w:p>
        </w:tc>
        <w:tc>
          <w:tcPr>
            <w:tcW w:type="dxa" w:w="30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Centro que deriva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Imágenes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</w:tc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 xml:space="preserve">Nódulo esplénico · polo caudal · longitudinal</w:t>
            </w:r>
          </w:p>
        </w:tc>
        <w:tc>
          <w:tcPr>
            <w:tcW w:type="dxa" w:w="4513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center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 xml:space="preserve">Bazo · corte transverso</w:t>
            </w:r>
          </w:p>
        </w:tc>
      </w:tr>
    </w:tbl>
    <w:p>
      <w:pPr>
        <w:pBdr>
          <w:top w:val="single" w:color="00D4FF" w:sz="8"/>
        </w:pBdr>
        <w:spacing w:before="420"/>
      </w:pPr>
      <w:r>
        <w:rPr>
          <w:sz w:val="2"/>
          <w:szCs w:val="2"/>
        </w:rPr>
        <w:t xml:space="preserve"/>
      </w:r>
    </w:p>
    <w:tbl>
      <w:tblPr>
        <w:tblW w:type="dxa" w:w="9026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200" w:before="0"/>
            </w:pPr>
            <w:r>
              <w:rPr>
                <w:rFonts w:ascii="Montserrat" w:cs="Montserrat" w:eastAsia="Montserrat" w:hAnsi="Montserrat"/>
                <w:color w:val="6B7280"/>
                <w:sz w:val="15"/>
                <w:szCs w:val="15"/>
              </w:rPr>
              <w:t xml:space="preserve">Informe emitido por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b/>
                <w:bCs/>
                <w:color w:val="0A1628"/>
                <w:sz w:val="18"/>
                <w:szCs w:val="18"/>
              </w:rPr>
              <w:t xml:space="preserve">Nuria Valle · col. 0000</w:t>
            </w:r>
          </w:p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6B7280"/>
                <w:sz w:val="14"/>
                <w:szCs w:val="14"/>
              </w:rPr>
              <w:t xml:space="preserve">9 de septiembre de 2026</w:t>
            </w:r>
          </w:p>
        </w:tc>
        <w:tc>
          <w:tcPr>
            <w:tcW w:type="dxa" w:w="4513"/>
            <w:tcBorders>
              <w:top w:val="none"/>
              <w:left w:val="none"/>
              <w:bottom w:val="none"/>
              <w:right w:val="none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  <w:jc w:val="right"/>
            </w:pPr>
            <w:r>
              <w:rPr>
                <w:rFonts w:ascii="Montserrat" w:cs="Montserrat" w:eastAsia="Montserrat" w:hAnsi="Montserrat"/>
                <w:i/>
                <w:iCs/>
                <w:color w:val="6B7280"/>
                <w:sz w:val="15"/>
                <w:szCs w:val="15"/>
              </w:rPr>
              <w:t xml:space="preserve">El informe describe, mide y valora.</w:t>
            </w:r>
          </w:p>
          <w:p>
            <w:pPr>
              <w:spacing w:after="50" w:before="0"/>
              <w:jc w:val="right"/>
            </w:pPr>
            <w:r>
              <w:rPr>
                <w:rFonts w:ascii="Montserrat" w:cs="Montserrat" w:eastAsia="Montserrat" w:hAnsi="Montserrat"/>
                <w:i/>
                <w:iCs/>
                <w:color w:val="6B7280"/>
                <w:sz w:val="15"/>
                <w:szCs w:val="15"/>
              </w:rPr>
              <w:t xml:space="preserve">La decisión clínica corresponde al veterinario responsable del caso.</w:t>
            </w:r>
          </w:p>
        </w:tc>
      </w:tr>
    </w:tbl>
    <w:p>
      <w:pPr>
        <w:spacing w:before="280"/>
        <w:jc w:val="center"/>
      </w:pPr>
      <w:r>
        <w:rPr>
          <w:rFonts w:ascii="Montserrat" w:cs="Montserrat" w:eastAsia="Montserrat" w:hAnsi="Montserrat"/>
          <w:color w:val="6B7280"/>
          <w:spacing w:val="20"/>
          <w:sz w:val="14"/>
          <w:szCs w:val="14"/>
        </w:rPr>
        <w:t xml:space="preserve">EJEMPLO DE DEMOSTRACIÓN · paciente, clínica y profesional ficticios</w:t>
      </w:r>
    </w:p>
    <w:p>
      <w:pPr>
        <w:pageBreakBefore/>
        <w:spacing w:after="200"/>
      </w:pPr>
      <w:r>
        <w:rPr>
          <w:rFonts w:ascii="Livvic" w:cs="Livvic" w:eastAsia="Livvic" w:hAnsi="Livvic"/>
          <w:b/>
          <w:bCs/>
          <w:color w:val="0A1628"/>
          <w:spacing w:val="30"/>
          <w:sz w:val="26"/>
          <w:szCs w:val="26"/>
        </w:rPr>
        <w:t xml:space="preserve">CÓMO SE USA ESTA PLANTILLA</w:t>
      </w:r>
    </w:p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El orden</w:t>
      </w:r>
    </w:p>
    <w:p>
      <w:pPr>
        <w:spacing w:after="50" w:before="0"/>
      </w:pPr>
      <w:r>
        <w:rPr>
          <w:rFonts w:ascii="Montserrat" w:cs="Montserrat" w:eastAsia="Montserrat" w:hAnsi="Montserrat"/>
          <w:color w:val="0A1628"/>
          <w:sz w:val="20"/>
          <w:szCs w:val="20"/>
        </w:rPr>
        <w:t xml:space="preserve">Los hallazgos van en el orden del barrido, empezando por la vejiga y cerrando en círculo: caudal, lado derecho, craneal, lado izquierdo, centro y revisión transversal. Cada profesional puede tener el suyo; lo esencial es repetir siempre el mismo, porque es lo que evita las omisiones. Cambia el orden aquí si el tuyo es otro.</w:t>
      </w:r>
    </w:p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Ninguna estructura se queda en blanco</w:t>
      </w:r>
    </w:p>
    <w:p>
      <w:pPr>
        <w:spacing w:after="50" w:before="0"/>
      </w:pPr>
      <w:r>
        <w:rPr>
          <w:rFonts w:ascii="Montserrat" w:cs="Montserrat" w:eastAsia="Montserrat" w:hAnsi="Montserrat"/>
          <w:color w:val="0A1628"/>
          <w:sz w:val="20"/>
          <w:szCs w:val="20"/>
        </w:rPr>
        <w:t xml:space="preserve">Un órgano no visualizado o evaluado parcialmente no consta como normal. Lo que no se explora no desaparece del informe: baja al apartado de estructuras no evaluadas, con su estado y su motivo.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6726"/>
      </w:tblGrid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No evaluado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7"/>
                <w:szCs w:val="17"/>
              </w:rPr>
              <w:t xml:space="preserve">No se pudo visualizar. Siempre con el motivo: gas, dolor, panículo, colaboración.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Parcial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7"/>
                <w:szCs w:val="17"/>
              </w:rPr>
              <w:t xml:space="preserve">Visualizado solo en parte. Se indica qué se vio y qué no.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No aplicable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7"/>
                <w:szCs w:val="17"/>
              </w:rPr>
              <w:t xml:space="preserve">No corresponde a este paciente o a este estudio.</w:t>
            </w:r>
          </w:p>
        </w:tc>
      </w:tr>
      <w:tr>
        <w:tc>
          <w:tcPr>
            <w:tcW w:type="dxa" w:w="2300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shd w:fill="F5F7F9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Livvic" w:cs="Livvic" w:eastAsia="Livvic" w:hAnsi="Livvic"/>
                <w:b/>
                <w:bCs/>
                <w:color w:val="00D4FF"/>
                <w:sz w:val="16"/>
                <w:szCs w:val="16"/>
              </w:rPr>
              <w:t xml:space="preserve">No aportado</w:t>
            </w:r>
          </w:p>
        </w:tc>
        <w:tc>
          <w:tcPr>
            <w:tcW w:type="dxa" w:w="6726"/>
            <w:tcBorders>
              <w:top w:val="single" w:color="DCE1E6" w:sz="2"/>
              <w:left w:val="single" w:color="DCE1E6" w:sz="2"/>
              <w:bottom w:val="single" w:color="DCE1E6" w:sz="2"/>
              <w:right w:val="single" w:color="DCE1E6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50" w:before="0"/>
            </w:pPr>
            <w:r>
              <w:rPr>
                <w:rFonts w:ascii="Montserrat" w:cs="Montserrat" w:eastAsia="Montserrat" w:hAnsi="Montserrat"/>
                <w:color w:val="0A1628"/>
                <w:sz w:val="17"/>
                <w:szCs w:val="17"/>
              </w:rPr>
              <w:t xml:space="preserve">El dato existe pero no lo tengo: está en el centro que deriva o en la historia.</w:t>
            </w:r>
          </w:p>
        </w:tc>
      </w:tr>
    </w:tbl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Qué se describe de cada estructura</w:t>
      </w:r>
    </w:p>
    <w:p>
      <w:pPr>
        <w:spacing w:after="50" w:before="0"/>
      </w:pPr>
      <w:r>
        <w:rPr>
          <w:rFonts w:ascii="Montserrat" w:cs="Montserrat" w:eastAsia="Montserrat" w:hAnsi="Montserrat"/>
          <w:color w:val="0A1628"/>
          <w:sz w:val="20"/>
          <w:szCs w:val="20"/>
        </w:rPr>
        <w:t xml:space="preserve">Parénquimas: tamaño, contorno, ecogenicidad, arquitectura y tejidos vecinos. Vísceras huecas: pared y sus capas, contenido y motilidad. Siempre en longitudinal y en transversal.</w:t>
      </w:r>
    </w:p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Qué no va en este informe</w:t>
      </w:r>
    </w:p>
    <w:p>
      <w:pPr>
        <w:spacing w:after="50" w:before="0"/>
      </w:pPr>
      <w:r>
        <w:rPr>
          <w:rFonts w:ascii="Montserrat" w:cs="Montserrat" w:eastAsia="Montserrat" w:hAnsi="Montserrat"/>
          <w:color w:val="0A1628"/>
          <w:sz w:val="20"/>
          <w:szCs w:val="20"/>
        </w:rPr>
        <w:t xml:space="preserve">El diagnóstico de cabecera, que corresponde al veterinario responsable del caso. Pautas, dosis y tratamientos. Y cualquier recomendación que no haya dictado quien explora: es el campo que más fácilmente se rellena solo.</w:t>
      </w:r>
    </w:p>
    <w:p>
      <w:pPr>
        <w:pBdr>
          <w:bottom w:val="single" w:color="00D4FF" w:sz="8"/>
        </w:pBdr>
        <w:spacing w:after="110" w:before="240"/>
      </w:pPr>
      <w:r>
        <w:rPr>
          <w:rFonts w:ascii="Livvic" w:cs="Livvic" w:eastAsia="Livvic" w:hAnsi="Livvic"/>
          <w:b/>
          <w:bCs/>
          <w:caps/>
          <w:color w:val="0A1628"/>
          <w:spacing w:val="20"/>
          <w:sz w:val="19"/>
          <w:szCs w:val="19"/>
        </w:rPr>
        <w:t xml:space="preserve">La valoración</w:t>
      </w:r>
    </w:p>
    <w:p>
      <w:pPr>
        <w:spacing w:after="50" w:before="0"/>
      </w:pPr>
      <w:r>
        <w:rPr>
          <w:rFonts w:ascii="Montserrat" w:cs="Montserrat" w:eastAsia="Montserrat" w:hAnsi="Montserrat"/>
          <w:color w:val="0A1628"/>
          <w:sz w:val="20"/>
          <w:szCs w:val="20"/>
        </w:rPr>
        <w:t xml:space="preserve">La escribe quien explora, con sus palabras y con su grado de certeza. Una duda se queda como duda: no se sube a «compatible con» ni a «sugestivo de». Esa decisión es de quien firma.</w:t>
      </w:r>
    </w:p>
    <w:p>
      <w:pPr>
        <w:spacing w:before="400"/>
        <w:jc w:val="center"/>
      </w:pPr>
      <w:r>
        <w:rPr>
          <w:rFonts w:ascii="Montserrat" w:cs="Montserrat" w:eastAsia="Montserrat" w:hAnsi="Montserrat"/>
          <w:color w:val="6B7280"/>
          <w:spacing w:val="20"/>
          <w:sz w:val="14"/>
          <w:szCs w:val="14"/>
        </w:rPr>
        <w:t xml:space="preserve">Material de KYBERVET Academy · adáptala a tu clínica antes de usarla</w:t>
      </w:r>
    </w:p>
    <w:sectPr>
      <w:pgSz w:w="11906" w:h="16838" w:orient="portrait"/>
      <w:pgMar w:top="900" w:right="1000" w:bottom="8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ontserrat" w:cs="Montserrat" w:eastAsia="Montserrat" w:hAnsi="Montserrat"/>
        <w:color w:val="0A162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2026-09-09T18:59:02.969Z</dcterms:created>
  <dcterms:modified xsi:type="dcterms:W3CDTF">2026-09-09T18:59:02.983Z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